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6AB" w:rsidRDefault="00E546AB" w:rsidP="00E546AB">
      <w:pPr>
        <w:widowControl w:val="0"/>
        <w:autoSpaceDE w:val="0"/>
        <w:autoSpaceDN w:val="0"/>
        <w:adjustRightInd w:val="0"/>
        <w:ind w:left="-720"/>
        <w:rPr>
          <w:rFonts w:ascii="Arial" w:hAnsi="Arial" w:cs="Arial"/>
          <w:color w:val="971013"/>
          <w:sz w:val="20"/>
          <w:szCs w:val="20"/>
        </w:rPr>
      </w:pPr>
      <w:r>
        <w:rPr>
          <w:rFonts w:ascii="Arial" w:hAnsi="Arial" w:cs="Arial"/>
          <w:color w:val="971013"/>
          <w:sz w:val="20"/>
          <w:szCs w:val="20"/>
        </w:rPr>
        <w:t>August 24, 2010</w:t>
      </w:r>
    </w:p>
    <w:p w:rsidR="00E546AB" w:rsidRDefault="00E546AB" w:rsidP="00E546AB">
      <w:pPr>
        <w:widowControl w:val="0"/>
        <w:autoSpaceDE w:val="0"/>
        <w:autoSpaceDN w:val="0"/>
        <w:adjustRightInd w:val="0"/>
        <w:ind w:left="-720"/>
        <w:rPr>
          <w:rFonts w:ascii="Arial" w:hAnsi="Arial" w:cs="Arial"/>
          <w:sz w:val="26"/>
          <w:szCs w:val="26"/>
        </w:rPr>
      </w:pPr>
    </w:p>
    <w:p w:rsidR="00E546AB" w:rsidRDefault="00E546AB" w:rsidP="00E546AB">
      <w:pPr>
        <w:widowControl w:val="0"/>
        <w:autoSpaceDE w:val="0"/>
        <w:autoSpaceDN w:val="0"/>
        <w:adjustRightInd w:val="0"/>
        <w:ind w:left="-720" w:right="-1440"/>
        <w:rPr>
          <w:rFonts w:ascii="Georgia" w:hAnsi="Georgia" w:cs="Georgia"/>
          <w:b/>
          <w:bCs/>
          <w:sz w:val="64"/>
          <w:szCs w:val="64"/>
        </w:rPr>
      </w:pPr>
      <w:r>
        <w:rPr>
          <w:rFonts w:ascii="Georgia" w:hAnsi="Georgia" w:cs="Georgia"/>
          <w:b/>
          <w:bCs/>
          <w:sz w:val="64"/>
          <w:szCs w:val="64"/>
        </w:rPr>
        <w:t>A Forgotten Fight for Suffrage</w:t>
      </w:r>
    </w:p>
    <w:p w:rsidR="00E546AB" w:rsidRDefault="00E546AB" w:rsidP="00E546AB">
      <w:pPr>
        <w:widowControl w:val="0"/>
        <w:autoSpaceDE w:val="0"/>
        <w:autoSpaceDN w:val="0"/>
        <w:adjustRightInd w:val="0"/>
        <w:spacing w:after="40"/>
        <w:ind w:left="-720"/>
        <w:rPr>
          <w:rFonts w:ascii="Arial" w:hAnsi="Arial" w:cs="Arial"/>
          <w:b/>
          <w:bCs/>
          <w:color w:val="6D6D6D"/>
          <w:sz w:val="26"/>
          <w:szCs w:val="26"/>
        </w:rPr>
      </w:pPr>
      <w:r>
        <w:rPr>
          <w:rFonts w:ascii="Arial" w:hAnsi="Arial" w:cs="Arial"/>
          <w:b/>
          <w:bCs/>
          <w:color w:val="6D6D6D"/>
          <w:sz w:val="26"/>
          <w:szCs w:val="26"/>
        </w:rPr>
        <w:t>By CHRISTINE STANSELL</w:t>
      </w:r>
    </w:p>
    <w:p w:rsidR="00E546AB" w:rsidRDefault="00E546AB" w:rsidP="00E546AB">
      <w:pPr>
        <w:widowControl w:val="0"/>
        <w:autoSpaceDE w:val="0"/>
        <w:autoSpaceDN w:val="0"/>
        <w:adjustRightInd w:val="0"/>
        <w:spacing w:after="320"/>
        <w:ind w:left="-720"/>
        <w:rPr>
          <w:rFonts w:ascii="Georgia" w:hAnsi="Georgia" w:cs="Georgia"/>
          <w:sz w:val="32"/>
          <w:szCs w:val="32"/>
        </w:rPr>
      </w:pPr>
      <w:r>
        <w:rPr>
          <w:rFonts w:ascii="Georgia" w:hAnsi="Georgia" w:cs="Georgia"/>
          <w:sz w:val="32"/>
          <w:szCs w:val="32"/>
        </w:rPr>
        <w:t>Chicago</w:t>
      </w:r>
    </w:p>
    <w:p w:rsidR="00E546AB" w:rsidRPr="00E546AB" w:rsidRDefault="00E546AB" w:rsidP="00E546AB">
      <w:pPr>
        <w:widowControl w:val="0"/>
        <w:autoSpaceDE w:val="0"/>
        <w:autoSpaceDN w:val="0"/>
        <w:adjustRightInd w:val="0"/>
        <w:spacing w:after="320"/>
        <w:ind w:left="-720"/>
        <w:rPr>
          <w:rFonts w:ascii="Georgia" w:hAnsi="Georgia" w:cs="Georgia"/>
          <w:szCs w:val="32"/>
        </w:rPr>
      </w:pPr>
      <w:r w:rsidRPr="00E546AB">
        <w:rPr>
          <w:rFonts w:ascii="Georgia" w:hAnsi="Georgia" w:cs="Georgia"/>
          <w:szCs w:val="32"/>
        </w:rPr>
        <w:t xml:space="preserve">LOOKING back on the adoption of the 19th Amendment 90 years ago Thursday — the largest act of enfranchisement in our history — it can be hard to see what the fuss was about. We’re inclined to assume that the passage of women’s </w:t>
      </w:r>
      <w:r w:rsidRPr="00D110C7">
        <w:rPr>
          <w:rFonts w:ascii="Georgia" w:hAnsi="Georgia" w:cs="Georgia"/>
          <w:b/>
          <w:szCs w:val="32"/>
        </w:rPr>
        <w:t>suffrage</w:t>
      </w:r>
      <w:r w:rsidRPr="00E546AB">
        <w:rPr>
          <w:rFonts w:ascii="Georgia" w:hAnsi="Georgia" w:cs="Georgia"/>
          <w:szCs w:val="32"/>
        </w:rPr>
        <w:t xml:space="preserve"> (</w:t>
      </w:r>
      <w:r w:rsidR="00D110C7">
        <w:rPr>
          <w:rFonts w:ascii="Georgia" w:hAnsi="Georgia" w:cs="Georgia"/>
          <w:szCs w:val="32"/>
        </w:rPr>
        <w:t xml:space="preserve">right to vote) </w:t>
      </w:r>
      <w:r w:rsidRPr="00E546AB">
        <w:rPr>
          <w:rFonts w:ascii="Georgia" w:hAnsi="Georgia" w:cs="Georgia"/>
          <w:szCs w:val="32"/>
        </w:rPr>
        <w:t>was inevitable, a change whose time had come. After all, voting is now business as usual for women. And although women are still poorly represented in Congress, there are influential female senators and representatives, and prominent women occupy governors’ and mayors’ offices and legislative seats in every part of the United States.</w:t>
      </w:r>
    </w:p>
    <w:p w:rsidR="00E546AB" w:rsidRPr="00E546AB" w:rsidRDefault="00E546AB" w:rsidP="00E546AB">
      <w:pPr>
        <w:widowControl w:val="0"/>
        <w:autoSpaceDE w:val="0"/>
        <w:autoSpaceDN w:val="0"/>
        <w:adjustRightInd w:val="0"/>
        <w:spacing w:after="320"/>
        <w:ind w:left="-720"/>
        <w:rPr>
          <w:rFonts w:ascii="Georgia" w:hAnsi="Georgia" w:cs="Georgia"/>
          <w:szCs w:val="32"/>
        </w:rPr>
      </w:pPr>
      <w:r w:rsidRPr="00E546AB">
        <w:rPr>
          <w:rFonts w:ascii="Georgia" w:hAnsi="Georgia" w:cs="Georgia"/>
          <w:szCs w:val="32"/>
        </w:rPr>
        <w:t>Yet entrenched opposition nationwide sidelined the suffrage movement for decades in the 19th century. By 1920, antagonism remained in the South, and was strong enough to come close to blocking ratification.</w:t>
      </w:r>
    </w:p>
    <w:p w:rsidR="00E546AB" w:rsidRPr="00E546AB" w:rsidRDefault="00E546AB" w:rsidP="00E546AB">
      <w:pPr>
        <w:widowControl w:val="0"/>
        <w:autoSpaceDE w:val="0"/>
        <w:autoSpaceDN w:val="0"/>
        <w:adjustRightInd w:val="0"/>
        <w:spacing w:after="320"/>
        <w:ind w:left="-720"/>
        <w:rPr>
          <w:rFonts w:ascii="Georgia" w:hAnsi="Georgia" w:cs="Georgia"/>
          <w:szCs w:val="32"/>
        </w:rPr>
      </w:pPr>
      <w:r w:rsidRPr="00E546AB">
        <w:rPr>
          <w:rFonts w:ascii="Georgia" w:hAnsi="Georgia" w:cs="Georgia"/>
          <w:szCs w:val="32"/>
        </w:rPr>
        <w:t>Proposals for giving women the vote had been around since the first convention for women’s rights in Seneca Falls, N.Y., in 1848. At the end of the Civil War, eager abolitionists urged Congress to enfranchise both the former slaves and women, black and white. The 14th Amendment opened the possibility, with its generous language about citizenship, equal protection and due process.</w:t>
      </w:r>
    </w:p>
    <w:p w:rsidR="00E546AB" w:rsidRPr="00E546AB" w:rsidRDefault="00E546AB" w:rsidP="00E546AB">
      <w:pPr>
        <w:widowControl w:val="0"/>
        <w:autoSpaceDE w:val="0"/>
        <w:autoSpaceDN w:val="0"/>
        <w:adjustRightInd w:val="0"/>
        <w:spacing w:after="320"/>
        <w:ind w:left="-720"/>
        <w:rPr>
          <w:rFonts w:ascii="Georgia" w:hAnsi="Georgia" w:cs="Georgia"/>
          <w:szCs w:val="32"/>
        </w:rPr>
      </w:pPr>
      <w:r w:rsidRPr="00E546AB">
        <w:rPr>
          <w:rFonts w:ascii="Georgia" w:hAnsi="Georgia" w:cs="Georgia"/>
          <w:szCs w:val="32"/>
        </w:rPr>
        <w:t>But, at that time, women’s suffrage was still unthinkable to anyone but radical abolitionists. Since the nation’s founding, Americans considered women to be, by nature, creatures of the home, under the care and authority of men. They had no need for the vote; their husbands represented them to the state and voted for them. So, in the 14th Amendment’s second section, Republicans inserted the word “male,” prohibiting the denial of voting rights to “any of the male inhabitants” of the states.</w:t>
      </w:r>
    </w:p>
    <w:p w:rsidR="00E546AB" w:rsidRPr="00E546AB" w:rsidRDefault="00E546AB" w:rsidP="00E546AB">
      <w:pPr>
        <w:widowControl w:val="0"/>
        <w:autoSpaceDE w:val="0"/>
        <w:autoSpaceDN w:val="0"/>
        <w:adjustRightInd w:val="0"/>
        <w:spacing w:after="320"/>
        <w:ind w:left="-720"/>
        <w:rPr>
          <w:rFonts w:ascii="Georgia" w:hAnsi="Georgia" w:cs="Georgia"/>
          <w:szCs w:val="32"/>
        </w:rPr>
      </w:pPr>
      <w:r w:rsidRPr="00E546AB">
        <w:rPr>
          <w:rFonts w:ascii="Georgia" w:hAnsi="Georgia" w:cs="Georgia"/>
          <w:szCs w:val="32"/>
        </w:rPr>
        <w:t xml:space="preserve">In the ensuing decades, the nation backpedaled from the equal-rights guarantees of the 14th and 15th amendments. Black voters in the South were refused federal protection, and even in the North and West, literacy tests and educational requirements were used to turn immigrants and laborers away from the polls. The suffrage movement itself embraced anti-immigrant and anti-black views. In 1903 in New Orleans, at their annual convention, suffragists listened to speakers inveigh against the Negro menace. Black suffragists met far across town. (An elderly Susan B. Anthony paid them a respectful call.) It was the </w:t>
      </w:r>
      <w:r w:rsidR="00D110C7" w:rsidRPr="00E546AB">
        <w:rPr>
          <w:rFonts w:ascii="Georgia" w:hAnsi="Georgia" w:cs="Georgia"/>
          <w:szCs w:val="32"/>
        </w:rPr>
        <w:t>lowest point</w:t>
      </w:r>
      <w:r w:rsidRPr="00E546AB">
        <w:rPr>
          <w:rFonts w:ascii="Georgia" w:hAnsi="Georgia" w:cs="Georgia"/>
          <w:szCs w:val="32"/>
        </w:rPr>
        <w:t xml:space="preserve"> of the women’s movement.</w:t>
      </w:r>
    </w:p>
    <w:p w:rsidR="00E546AB" w:rsidRPr="00E546AB" w:rsidRDefault="00E546AB" w:rsidP="00E546AB">
      <w:pPr>
        <w:widowControl w:val="0"/>
        <w:autoSpaceDE w:val="0"/>
        <w:autoSpaceDN w:val="0"/>
        <w:adjustRightInd w:val="0"/>
        <w:spacing w:after="320"/>
        <w:ind w:left="-720"/>
        <w:rPr>
          <w:rFonts w:ascii="Georgia" w:hAnsi="Georgia" w:cs="Georgia"/>
          <w:szCs w:val="32"/>
        </w:rPr>
      </w:pPr>
      <w:r w:rsidRPr="00E546AB">
        <w:rPr>
          <w:rFonts w:ascii="Georgia" w:hAnsi="Georgia" w:cs="Georgia"/>
          <w:szCs w:val="32"/>
        </w:rPr>
        <w:t xml:space="preserve">Later in the first decade of the new century, though, an influx of bold young women, allergic to the old pieties about female </w:t>
      </w:r>
      <w:r w:rsidR="00D110C7" w:rsidRPr="00E546AB">
        <w:rPr>
          <w:rFonts w:ascii="Georgia" w:hAnsi="Georgia" w:cs="Georgia"/>
          <w:szCs w:val="32"/>
        </w:rPr>
        <w:t>innocence</w:t>
      </w:r>
      <w:r w:rsidRPr="00E546AB">
        <w:rPr>
          <w:rFonts w:ascii="Georgia" w:hAnsi="Georgia" w:cs="Georgia"/>
          <w:szCs w:val="32"/>
        </w:rPr>
        <w:t xml:space="preserve"> and comfortable working with men, displaced their moralistic, tee</w:t>
      </w:r>
      <w:r w:rsidR="00D110C7">
        <w:rPr>
          <w:rFonts w:ascii="Georgia" w:hAnsi="Georgia" w:cs="Georgia"/>
          <w:szCs w:val="32"/>
        </w:rPr>
        <w:t xml:space="preserve"> </w:t>
      </w:r>
      <w:r w:rsidRPr="00E546AB">
        <w:rPr>
          <w:rFonts w:ascii="Georgia" w:hAnsi="Georgia" w:cs="Georgia"/>
          <w:szCs w:val="32"/>
        </w:rPr>
        <w:t>totaling elders. Black women, working women and immigrants joined white reformers in a stunningly successful coalition. From 1909 to 1912, they won suffrage in Oregon, California and Washington. More states followed, so that by the 1916 presidential election, 4 million new votes were in play.</w:t>
      </w:r>
    </w:p>
    <w:p w:rsidR="00E546AB" w:rsidRPr="00E546AB" w:rsidRDefault="00E546AB" w:rsidP="00E546AB">
      <w:pPr>
        <w:widowControl w:val="0"/>
        <w:autoSpaceDE w:val="0"/>
        <w:autoSpaceDN w:val="0"/>
        <w:adjustRightInd w:val="0"/>
        <w:spacing w:after="320"/>
        <w:ind w:left="-720"/>
        <w:rPr>
          <w:rFonts w:ascii="Georgia" w:hAnsi="Georgia" w:cs="Georgia"/>
          <w:szCs w:val="32"/>
        </w:rPr>
      </w:pPr>
      <w:r w:rsidRPr="00E546AB">
        <w:rPr>
          <w:rFonts w:ascii="Georgia" w:hAnsi="Georgia" w:cs="Georgia"/>
          <w:szCs w:val="32"/>
        </w:rPr>
        <w:t>“Antis” still managed to defeat suffrage measures in four Northern states that year. “Woman suffrage wants the wife to be as much the ruler as the husband, if not the chief ruler,” warned one antagonist. But such views were waning — everywhere but the South.</w:t>
      </w:r>
    </w:p>
    <w:p w:rsidR="00E546AB" w:rsidRPr="00E546AB" w:rsidRDefault="00E546AB" w:rsidP="00E546AB">
      <w:pPr>
        <w:widowControl w:val="0"/>
        <w:autoSpaceDE w:val="0"/>
        <w:autoSpaceDN w:val="0"/>
        <w:adjustRightInd w:val="0"/>
        <w:spacing w:after="320"/>
        <w:ind w:left="-720"/>
        <w:rPr>
          <w:rFonts w:ascii="Georgia" w:hAnsi="Georgia" w:cs="Georgia"/>
          <w:szCs w:val="32"/>
        </w:rPr>
      </w:pPr>
      <w:r w:rsidRPr="00E546AB">
        <w:rPr>
          <w:rFonts w:ascii="Georgia" w:hAnsi="Georgia" w:cs="Georgia"/>
          <w:szCs w:val="32"/>
        </w:rPr>
        <w:t xml:space="preserve">President Woodrow Wilson, who had been a </w:t>
      </w:r>
      <w:r w:rsidR="00D110C7" w:rsidRPr="00E546AB">
        <w:rPr>
          <w:rFonts w:ascii="Georgia" w:hAnsi="Georgia" w:cs="Georgia"/>
          <w:szCs w:val="32"/>
        </w:rPr>
        <w:t>polite</w:t>
      </w:r>
      <w:r w:rsidRPr="00E546AB">
        <w:rPr>
          <w:rFonts w:ascii="Georgia" w:hAnsi="Georgia" w:cs="Georgia"/>
          <w:szCs w:val="32"/>
        </w:rPr>
        <w:t xml:space="preserve"> but firm anti-suffragist, was indebted to female voters for helping him win a close election, and in 1918 he endorsed a constitutional amendment. That year the 19th Amendment passed the House. It stalled in the Senate — blocked by conservative Southerners — but Wilson muscled it through in 1919.</w:t>
      </w:r>
    </w:p>
    <w:p w:rsidR="00E546AB" w:rsidRPr="00E546AB" w:rsidRDefault="00E546AB" w:rsidP="00E546AB">
      <w:pPr>
        <w:widowControl w:val="0"/>
        <w:autoSpaceDE w:val="0"/>
        <w:autoSpaceDN w:val="0"/>
        <w:adjustRightInd w:val="0"/>
        <w:spacing w:after="320"/>
        <w:ind w:left="-720"/>
        <w:rPr>
          <w:rFonts w:ascii="Georgia" w:hAnsi="Georgia" w:cs="Georgia"/>
          <w:szCs w:val="32"/>
        </w:rPr>
      </w:pPr>
      <w:r w:rsidRPr="00E546AB">
        <w:rPr>
          <w:rFonts w:ascii="Georgia" w:hAnsi="Georgia" w:cs="Georgia"/>
          <w:szCs w:val="32"/>
        </w:rPr>
        <w:t>Thirty-six of the 48 states then needed to ratify it. Western states did so promptly, and in the North only Vermont and Connecticut delayed. But the segregated South saw in the 19th Amendment a grave threat: the removal of the most comprehensive principle for depriving an entire class of Americans of full citizenship rights. The logic of women’s disenfranchisement helped legitimize relegating blacks to second-class citizenship.</w:t>
      </w:r>
    </w:p>
    <w:p w:rsidR="00E546AB" w:rsidRPr="00E546AB" w:rsidRDefault="00E546AB" w:rsidP="00E546AB">
      <w:pPr>
        <w:widowControl w:val="0"/>
        <w:autoSpaceDE w:val="0"/>
        <w:autoSpaceDN w:val="0"/>
        <w:adjustRightInd w:val="0"/>
        <w:spacing w:after="320"/>
        <w:ind w:left="-720"/>
        <w:rPr>
          <w:rFonts w:ascii="Georgia" w:hAnsi="Georgia" w:cs="Georgia"/>
          <w:szCs w:val="32"/>
        </w:rPr>
      </w:pPr>
      <w:r w:rsidRPr="00E546AB">
        <w:rPr>
          <w:rFonts w:ascii="Georgia" w:hAnsi="Georgia" w:cs="Georgia"/>
          <w:szCs w:val="32"/>
        </w:rPr>
        <w:t>Female voters would also pose practical difficulties, described bluntly by a Mississippi man: “We are not afraid to maul a black man over the head if he dares to vote, but we can’t treat women, even black women, that way. No, we’ll allow no woman suffrage.”</w:t>
      </w:r>
    </w:p>
    <w:p w:rsidR="00E546AB" w:rsidRPr="00E546AB" w:rsidRDefault="00E546AB" w:rsidP="00E546AB">
      <w:pPr>
        <w:widowControl w:val="0"/>
        <w:autoSpaceDE w:val="0"/>
        <w:autoSpaceDN w:val="0"/>
        <w:adjustRightInd w:val="0"/>
        <w:spacing w:after="320"/>
        <w:ind w:left="-720"/>
        <w:rPr>
          <w:rFonts w:ascii="Georgia" w:hAnsi="Georgia" w:cs="Georgia"/>
          <w:szCs w:val="32"/>
        </w:rPr>
      </w:pPr>
      <w:r w:rsidRPr="00E546AB">
        <w:rPr>
          <w:rFonts w:ascii="Georgia" w:hAnsi="Georgia" w:cs="Georgia"/>
          <w:szCs w:val="32"/>
        </w:rPr>
        <w:t>Nine Southern states joined by Delaware forced ratification to a halt, one state short. Only Tennessee was left, and the opposition had good reason to think it would line up with the rest of the region. But after a nine-day special session in the heat of August 1920, a legislator pledged to the nays jumped ship — he later said it was because his mother told him to — and the 36th state was in.</w:t>
      </w:r>
    </w:p>
    <w:p w:rsidR="00E546AB" w:rsidRPr="00E546AB" w:rsidRDefault="00E546AB" w:rsidP="00E546AB">
      <w:pPr>
        <w:widowControl w:val="0"/>
        <w:autoSpaceDE w:val="0"/>
        <w:autoSpaceDN w:val="0"/>
        <w:adjustRightInd w:val="0"/>
        <w:spacing w:after="320"/>
        <w:ind w:left="-720"/>
        <w:rPr>
          <w:rFonts w:ascii="Georgia" w:hAnsi="Georgia" w:cs="Georgia"/>
          <w:szCs w:val="32"/>
        </w:rPr>
      </w:pPr>
      <w:r w:rsidRPr="00E546AB">
        <w:rPr>
          <w:rFonts w:ascii="Georgia" w:hAnsi="Georgia" w:cs="Georgia"/>
          <w:szCs w:val="32"/>
        </w:rPr>
        <w:t>Even then, in several Southern states, die-hards went to court to invalidate the amendment, stopping only after the Supreme Court in 1922 unanimously dismissed their arguments.</w:t>
      </w:r>
    </w:p>
    <w:p w:rsidR="00E546AB" w:rsidRPr="00E546AB" w:rsidRDefault="00E546AB" w:rsidP="00E546AB">
      <w:pPr>
        <w:widowControl w:val="0"/>
        <w:autoSpaceDE w:val="0"/>
        <w:autoSpaceDN w:val="0"/>
        <w:adjustRightInd w:val="0"/>
        <w:spacing w:after="320"/>
        <w:ind w:left="-720"/>
        <w:rPr>
          <w:rFonts w:ascii="Georgia" w:hAnsi="Georgia" w:cs="Georgia"/>
          <w:szCs w:val="32"/>
        </w:rPr>
      </w:pPr>
      <w:r w:rsidRPr="00E546AB">
        <w:rPr>
          <w:rFonts w:ascii="Georgia" w:hAnsi="Georgia" w:cs="Georgia"/>
          <w:szCs w:val="32"/>
        </w:rPr>
        <w:t xml:space="preserve">In 1923 Delaware ratified belatedly to join the rest of the country, but the Southern states waited decades: Maryland in 1941, Virginia in 1952, Alabama in 1953. Florida, Georgia, Louisiana, North Carolina and South Carolina came along from 1969 to </w:t>
      </w:r>
      <w:proofErr w:type="gramStart"/>
      <w:r w:rsidRPr="00E546AB">
        <w:rPr>
          <w:rFonts w:ascii="Georgia" w:hAnsi="Georgia" w:cs="Georgia"/>
          <w:szCs w:val="32"/>
        </w:rPr>
        <w:t>1971,</w:t>
      </w:r>
      <w:proofErr w:type="gramEnd"/>
      <w:r w:rsidRPr="00E546AB">
        <w:rPr>
          <w:rFonts w:ascii="Georgia" w:hAnsi="Georgia" w:cs="Georgia"/>
          <w:szCs w:val="32"/>
        </w:rPr>
        <w:t xml:space="preserve"> years after the Voting Rights Act of 1965 had passed. Mississippi brought up the rear, not condoning the right of women to vote until 1984.</w:t>
      </w:r>
    </w:p>
    <w:p w:rsidR="00E546AB" w:rsidRPr="00E546AB" w:rsidRDefault="00E546AB" w:rsidP="00E546AB">
      <w:pPr>
        <w:widowControl w:val="0"/>
        <w:autoSpaceDE w:val="0"/>
        <w:autoSpaceDN w:val="0"/>
        <w:adjustRightInd w:val="0"/>
        <w:spacing w:after="320"/>
        <w:ind w:left="-720"/>
        <w:rPr>
          <w:rFonts w:ascii="Georgia" w:hAnsi="Georgia" w:cs="Georgia"/>
          <w:szCs w:val="32"/>
        </w:rPr>
      </w:pPr>
      <w:r w:rsidRPr="00E546AB">
        <w:rPr>
          <w:rFonts w:ascii="Georgia" w:hAnsi="Georgia" w:cs="Georgia"/>
          <w:szCs w:val="32"/>
        </w:rPr>
        <w:t>Today the country is again divided over how far the rights of citizenship extend. In the controversy over same-sex marriage, the prospect of constitutional protection calls up truculence from one part of the country, approval from another. How remarkable, then, that a parallel conflict — one that similarly exposes the fears and anxieties that the expansion of democracy unleashes — is now largely lost to memory.</w:t>
      </w:r>
    </w:p>
    <w:p w:rsidR="00E546AB" w:rsidRPr="00E546AB" w:rsidRDefault="00E546AB" w:rsidP="00E546AB">
      <w:pPr>
        <w:widowControl w:val="0"/>
        <w:autoSpaceDE w:val="0"/>
        <w:autoSpaceDN w:val="0"/>
        <w:adjustRightInd w:val="0"/>
        <w:spacing w:after="300"/>
        <w:ind w:left="-720"/>
        <w:rPr>
          <w:rFonts w:ascii="Georgia" w:hAnsi="Georgia" w:cs="Georgia"/>
          <w:i/>
          <w:iCs/>
          <w:szCs w:val="30"/>
        </w:rPr>
      </w:pPr>
    </w:p>
    <w:p w:rsidR="00E57339" w:rsidRDefault="00E546AB" w:rsidP="00E546AB">
      <w:pPr>
        <w:ind w:left="-720"/>
        <w:rPr>
          <w:rFonts w:ascii="Georgia" w:hAnsi="Georgia" w:cs="Georgia"/>
          <w:iCs/>
          <w:szCs w:val="30"/>
        </w:rPr>
      </w:pPr>
      <w:r w:rsidRPr="00E546AB">
        <w:rPr>
          <w:rFonts w:ascii="Georgia" w:hAnsi="Georgia" w:cs="Georgia"/>
          <w:i/>
          <w:iCs/>
          <w:szCs w:val="30"/>
        </w:rPr>
        <w:t xml:space="preserve">Christine </w:t>
      </w:r>
      <w:proofErr w:type="spellStart"/>
      <w:r w:rsidRPr="00E546AB">
        <w:rPr>
          <w:rFonts w:ascii="Georgia" w:hAnsi="Georgia" w:cs="Georgia"/>
          <w:i/>
          <w:iCs/>
          <w:szCs w:val="30"/>
        </w:rPr>
        <w:t>Stansell</w:t>
      </w:r>
      <w:proofErr w:type="spellEnd"/>
      <w:r w:rsidRPr="00E546AB">
        <w:rPr>
          <w:rFonts w:ascii="Georgia" w:hAnsi="Georgia" w:cs="Georgia"/>
          <w:i/>
          <w:iCs/>
          <w:szCs w:val="30"/>
        </w:rPr>
        <w:t>, a professor of history at the University of Chicago, is the author of “The Feminist Promise: 1792 to the Present.”</w:t>
      </w:r>
    </w:p>
    <w:p w:rsidR="00E57339" w:rsidRDefault="00E57339" w:rsidP="00E546AB">
      <w:pPr>
        <w:ind w:left="-720"/>
        <w:rPr>
          <w:rFonts w:ascii="Georgia" w:hAnsi="Georgia" w:cs="Georgia"/>
          <w:iCs/>
          <w:szCs w:val="30"/>
        </w:rPr>
      </w:pPr>
    </w:p>
    <w:p w:rsidR="00E57339" w:rsidRDefault="00E57339" w:rsidP="00E546AB">
      <w:pPr>
        <w:ind w:left="-720"/>
        <w:rPr>
          <w:rFonts w:ascii="Georgia" w:hAnsi="Georgia" w:cs="Georgia"/>
          <w:iCs/>
          <w:szCs w:val="30"/>
        </w:rPr>
      </w:pPr>
    </w:p>
    <w:p w:rsidR="00E546AB" w:rsidRPr="00E57339" w:rsidRDefault="00E57339" w:rsidP="00E546AB">
      <w:pPr>
        <w:ind w:left="-720"/>
      </w:pPr>
      <w:r w:rsidRPr="00E57339">
        <w:drawing>
          <wp:anchor distT="0" distB="0" distL="114300" distR="114300" simplePos="0" relativeHeight="251658240" behindDoc="0" locked="0" layoutInCell="1" allowOverlap="1">
            <wp:simplePos x="0" y="0"/>
            <wp:positionH relativeFrom="column">
              <wp:posOffset>-1143000</wp:posOffset>
            </wp:positionH>
            <wp:positionV relativeFrom="paragraph">
              <wp:posOffset>-222250</wp:posOffset>
            </wp:positionV>
            <wp:extent cx="7251700" cy="9474200"/>
            <wp:effectExtent l="0" t="0" r="0" b="0"/>
            <wp:wrapNone/>
            <wp:docPr id="3" name="O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202362" cy="9144000"/>
                      <a:chOff x="1470819" y="-1196181"/>
                      <a:chExt cx="6202362" cy="9144000"/>
                    </a:xfrm>
                  </a:grpSpPr>
                  <a:sp>
                    <a:nvSpPr>
                      <a:cNvPr id="2052" name="Rectangle 4"/>
                      <a:cNvSpPr>
                        <a:spLocks noGrp="1" noChangeArrowheads="1"/>
                      </a:cNvSpPr>
                    </a:nvSpPr>
                    <a:spPr bwMode="auto">
                      <a:xfrm rot="5400000">
                        <a:off x="0" y="274638"/>
                        <a:ext cx="9144000" cy="6202362"/>
                      </a:xfrm>
                      <a:prstGeom prst="rect">
                        <a:avLst/>
                      </a:prstGeom>
                      <a:noFill/>
                      <a:ln w="9525">
                        <a:noFill/>
                        <a:miter lim="800000"/>
                        <a:headEnd/>
                        <a:tailEnd/>
                      </a:ln>
                      <a:effectLst/>
                    </a:spPr>
                    <a:txSp>
                      <a:txBody>
                        <a:bodyPr vert="horz" wrap="square" lIns="91440" tIns="45720" rIns="91440" bIns="45720" numCol="1" anchor="ctr" anchorCtr="0" compatLnSpc="1">
                          <a:prstTxWarp prst="textNoShape">
                            <a:avLst/>
                          </a:prstTxWarp>
                        </a:bodyPr>
                        <a:lstStyle>
                          <a:lvl1pPr algn="ctr" rtl="0" fontAlgn="base">
                            <a:spcBef>
                              <a:spcPct val="0"/>
                            </a:spcBef>
                            <a:spcAft>
                              <a:spcPct val="0"/>
                            </a:spcAft>
                            <a:defRPr sz="4400">
                              <a:solidFill>
                                <a:schemeClr val="tx2"/>
                              </a:solidFill>
                              <a:latin typeface="+mj-lt"/>
                              <a:ea typeface="+mj-ea"/>
                              <a:cs typeface="+mj-cs"/>
                            </a:defRPr>
                          </a:lvl1pPr>
                          <a:lvl2pPr algn="ctr" rtl="0" fontAlgn="base">
                            <a:spcBef>
                              <a:spcPct val="0"/>
                            </a:spcBef>
                            <a:spcAft>
                              <a:spcPct val="0"/>
                            </a:spcAft>
                            <a:defRPr sz="4400">
                              <a:solidFill>
                                <a:schemeClr val="tx2"/>
                              </a:solidFill>
                              <a:latin typeface="Arial" charset="0"/>
                            </a:defRPr>
                          </a:lvl2pPr>
                          <a:lvl3pPr algn="ctr" rtl="0" fontAlgn="base">
                            <a:spcBef>
                              <a:spcPct val="0"/>
                            </a:spcBef>
                            <a:spcAft>
                              <a:spcPct val="0"/>
                            </a:spcAft>
                            <a:defRPr sz="4400">
                              <a:solidFill>
                                <a:schemeClr val="tx2"/>
                              </a:solidFill>
                              <a:latin typeface="Arial" charset="0"/>
                            </a:defRPr>
                          </a:lvl3pPr>
                          <a:lvl4pPr algn="ctr" rtl="0" fontAlgn="base">
                            <a:spcBef>
                              <a:spcPct val="0"/>
                            </a:spcBef>
                            <a:spcAft>
                              <a:spcPct val="0"/>
                            </a:spcAft>
                            <a:defRPr sz="4400">
                              <a:solidFill>
                                <a:schemeClr val="tx2"/>
                              </a:solidFill>
                              <a:latin typeface="Arial" charset="0"/>
                            </a:defRPr>
                          </a:lvl4pPr>
                          <a:lvl5pPr algn="ctr" rtl="0" fontAlgn="base">
                            <a:spcBef>
                              <a:spcPct val="0"/>
                            </a:spcBef>
                            <a:spcAft>
                              <a:spcPct val="0"/>
                            </a:spcAft>
                            <a:defRPr sz="4400">
                              <a:solidFill>
                                <a:schemeClr val="tx2"/>
                              </a:solidFill>
                              <a:latin typeface="Arial" charset="0"/>
                            </a:defRPr>
                          </a:lvl5pPr>
                          <a:lvl6pPr marL="457200" algn="ctr" rtl="0" fontAlgn="base">
                            <a:spcBef>
                              <a:spcPct val="0"/>
                            </a:spcBef>
                            <a:spcAft>
                              <a:spcPct val="0"/>
                            </a:spcAft>
                            <a:defRPr sz="4400">
                              <a:solidFill>
                                <a:schemeClr val="tx2"/>
                              </a:solidFill>
                              <a:latin typeface="Arial" charset="0"/>
                            </a:defRPr>
                          </a:lvl6pPr>
                          <a:lvl7pPr marL="914400" algn="ctr" rtl="0" fontAlgn="base">
                            <a:spcBef>
                              <a:spcPct val="0"/>
                            </a:spcBef>
                            <a:spcAft>
                              <a:spcPct val="0"/>
                            </a:spcAft>
                            <a:defRPr sz="4400">
                              <a:solidFill>
                                <a:schemeClr val="tx2"/>
                              </a:solidFill>
                              <a:latin typeface="Arial" charset="0"/>
                            </a:defRPr>
                          </a:lvl7pPr>
                          <a:lvl8pPr marL="1371600" algn="ctr" rtl="0" fontAlgn="base">
                            <a:spcBef>
                              <a:spcPct val="0"/>
                            </a:spcBef>
                            <a:spcAft>
                              <a:spcPct val="0"/>
                            </a:spcAft>
                            <a:defRPr sz="4400">
                              <a:solidFill>
                                <a:schemeClr val="tx2"/>
                              </a:solidFill>
                              <a:latin typeface="Arial" charset="0"/>
                            </a:defRPr>
                          </a:lvl8pPr>
                          <a:lvl9pPr marL="1828800" algn="ctr" rtl="0" fontAlgn="base">
                            <a:spcBef>
                              <a:spcPct val="0"/>
                            </a:spcBef>
                            <a:spcAft>
                              <a:spcPct val="0"/>
                            </a:spcAft>
                            <a:defRPr sz="4400">
                              <a:solidFill>
                                <a:schemeClr val="tx2"/>
                              </a:solidFill>
                              <a:latin typeface="Arial" charset="0"/>
                            </a:defRPr>
                          </a:lvl9pPr>
                        </a:lstStyle>
                        <a:p>
                          <a:r>
                            <a:rPr lang="en-US" sz="1600" dirty="0"/>
                            <a:t>_______________</a:t>
                          </a:r>
                          <a:br>
                            <a:rPr lang="en-US" sz="1600" dirty="0"/>
                          </a:br>
                          <a:r>
                            <a:rPr lang="en-US" sz="1600" dirty="0"/>
                            <a:t/>
                          </a:r>
                          <a:br>
                            <a:rPr lang="en-US" sz="1600" dirty="0"/>
                          </a:br>
                          <a:r>
                            <a:rPr lang="en-US" sz="1600" dirty="0"/>
                            <a:t/>
                          </a:r>
                          <a:br>
                            <a:rPr lang="en-US" sz="1600" dirty="0"/>
                          </a:br>
                          <a:r>
                            <a:rPr lang="en-US" sz="1600" dirty="0"/>
                            <a:t>__________    __________</a:t>
                          </a:r>
                          <a:br>
                            <a:rPr lang="en-US" sz="1600" dirty="0"/>
                          </a:br>
                          <a:r>
                            <a:rPr lang="en-US" sz="1600" dirty="0"/>
                            <a:t/>
                          </a:r>
                          <a:br>
                            <a:rPr lang="en-US" sz="1600" dirty="0"/>
                          </a:br>
                          <a:r>
                            <a:rPr lang="en-US" sz="1600" dirty="0"/>
                            <a:t/>
                          </a:r>
                          <a:br>
                            <a:rPr lang="en-US" sz="1600" dirty="0"/>
                          </a:br>
                          <a:r>
                            <a:rPr lang="en-US" sz="1600" dirty="0"/>
                            <a:t>__________    __________    __________</a:t>
                          </a:r>
                          <a:br>
                            <a:rPr lang="en-US" sz="1600" dirty="0"/>
                          </a:br>
                          <a:r>
                            <a:rPr lang="en-US" sz="1600" dirty="0"/>
                            <a:t/>
                          </a:r>
                          <a:br>
                            <a:rPr lang="en-US" sz="1600" dirty="0"/>
                          </a:br>
                          <a:r>
                            <a:rPr lang="en-US" sz="1600" dirty="0"/>
                            <a:t/>
                          </a:r>
                          <a:br>
                            <a:rPr lang="en-US" sz="1600" dirty="0"/>
                          </a:br>
                          <a:r>
                            <a:rPr lang="en-US" sz="1600" dirty="0"/>
                            <a:t> __________    __________    __________    __________</a:t>
                          </a:r>
                          <a:br>
                            <a:rPr lang="en-US" sz="1600" dirty="0"/>
                          </a:br>
                          <a:r>
                            <a:rPr lang="en-US" sz="1600" dirty="0"/>
                            <a:t/>
                          </a:r>
                          <a:br>
                            <a:rPr lang="en-US" sz="1600" dirty="0"/>
                          </a:br>
                          <a:r>
                            <a:rPr lang="en-US" sz="1600" dirty="0"/>
                            <a:t/>
                          </a:r>
                          <a:br>
                            <a:rPr lang="en-US" sz="1600" dirty="0"/>
                          </a:br>
                          <a:r>
                            <a:rPr lang="en-US" sz="1600" dirty="0"/>
                            <a:t> __________    __________    __________    __________    __________</a:t>
                          </a:r>
                          <a:br>
                            <a:rPr lang="en-US" sz="1600" dirty="0"/>
                          </a:br>
                          <a:r>
                            <a:rPr lang="en-US" sz="1600" dirty="0"/>
                            <a:t/>
                          </a:r>
                          <a:br>
                            <a:rPr lang="en-US" sz="1600" dirty="0"/>
                          </a:br>
                          <a:r>
                            <a:rPr lang="en-US" sz="1600" dirty="0"/>
                            <a:t/>
                          </a:r>
                          <a:br>
                            <a:rPr lang="en-US" sz="1600" dirty="0"/>
                          </a:br>
                          <a:r>
                            <a:rPr lang="en-US" sz="1600" dirty="0"/>
                            <a:t> _________    _________    _________    _________    _________    _________</a:t>
                          </a:r>
                          <a:br>
                            <a:rPr lang="en-US" sz="1600" dirty="0"/>
                          </a:br>
                          <a:r>
                            <a:rPr lang="en-US" sz="1600" dirty="0"/>
                            <a:t/>
                          </a:r>
                          <a:br>
                            <a:rPr lang="en-US" sz="1600" dirty="0"/>
                          </a:br>
                          <a:r>
                            <a:rPr lang="en-US" sz="1600" dirty="0"/>
                            <a:t/>
                          </a:r>
                          <a:br>
                            <a:rPr lang="en-US" sz="1600" dirty="0"/>
                          </a:br>
                          <a:r>
                            <a:rPr lang="en-US" sz="1600" dirty="0"/>
                            <a:t>_________  _________  _________  _________  _________  _________  ________</a:t>
                          </a:r>
                          <a:br>
                            <a:rPr lang="en-US" sz="1600" dirty="0"/>
                          </a:br>
                          <a:r>
                            <a:rPr lang="en-US" sz="1600" dirty="0"/>
                            <a:t/>
                          </a:r>
                          <a:br>
                            <a:rPr lang="en-US" sz="1600" dirty="0"/>
                          </a:br>
                          <a:r>
                            <a:rPr lang="en-US" sz="1600" dirty="0"/>
                            <a:t/>
                          </a:r>
                          <a:br>
                            <a:rPr lang="en-US" sz="1600" dirty="0"/>
                          </a:br>
                          <a:r>
                            <a:rPr lang="en-US" sz="1600" dirty="0"/>
                            <a:t>________  ________  ________  ________  ________  ________  ________  ________</a:t>
                          </a:r>
                          <a:br>
                            <a:rPr lang="en-US" sz="1600" dirty="0"/>
                          </a:br>
                          <a:r>
                            <a:rPr lang="en-US" sz="1600" dirty="0"/>
                            <a:t/>
                          </a:r>
                          <a:br>
                            <a:rPr lang="en-US" sz="1600" dirty="0"/>
                          </a:br>
                          <a:endParaRPr lang="en-US" sz="1600" dirty="0"/>
                        </a:p>
                      </a:txBody>
                      <a:useSpRect/>
                    </a:txSp>
                  </a:sp>
                </lc:lockedCanvas>
              </a:graphicData>
            </a:graphic>
          </wp:anchor>
        </w:drawing>
      </w:r>
    </w:p>
    <w:sectPr w:rsidR="00E546AB" w:rsidRPr="00E57339" w:rsidSect="00E546AB">
      <w:pgSz w:w="12240" w:h="15840"/>
      <w:pgMar w:top="81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546AB"/>
    <w:rsid w:val="004C57AC"/>
    <w:rsid w:val="00D110C7"/>
    <w:rsid w:val="00E546AB"/>
    <w:rsid w:val="00E57339"/>
  </w:rsids>
  <m:mathPr>
    <m:mathFont m:val="Arial Rounded MT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70B"/>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3</Pages>
  <Words>826</Words>
  <Characters>4713</Characters>
  <Application>Microsoft Macintosh Word</Application>
  <DocSecurity>0</DocSecurity>
  <Lines>39</Lines>
  <Paragraphs>9</Paragraphs>
  <ScaleCrop>false</ScaleCrop>
  <Company>Christina School District</Company>
  <LinksUpToDate>false</LinksUpToDate>
  <CharactersWithSpaces>5787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Authorized User</dc:creator>
  <cp:keywords/>
  <cp:lastModifiedBy>Authorized User</cp:lastModifiedBy>
  <cp:revision>1</cp:revision>
  <cp:lastPrinted>2012-12-04T12:56:00Z</cp:lastPrinted>
  <dcterms:created xsi:type="dcterms:W3CDTF">2012-12-04T01:33:00Z</dcterms:created>
  <dcterms:modified xsi:type="dcterms:W3CDTF">2012-12-04T19:44:00Z</dcterms:modified>
</cp:coreProperties>
</file>